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1A365D"/>
            <w:tcMar>
              <w:top w:w="140" w:type="dxa"/>
              <w:bottom w:w="140" w:type="dxa"/>
              <w:left w:w="180" w:type="dxa"/>
              <w:right w:w="180" w:type="dxa"/>
            </w:tcMar>
          </w:tcPr>
          <w:p>
            <w:pPr>
              <w:spacing w:after="80"/>
            </w:pPr>
            <w:r>
              <w:rPr>
                <w:rFonts w:ascii="Calibri" w:hAnsi="Calibri"/>
                <w:b/>
                <w:color w:val="FFFFFF"/>
                <w:sz w:val="30"/>
              </w:rPr>
              <w:t>Advances in Modern Science and Research (AMSR)</w:t>
            </w:r>
          </w:p>
          <w:p>
            <w:pPr>
              <w:spacing w:after="0"/>
            </w:pPr>
            <w:r>
              <w:rPr>
                <w:rFonts w:ascii="Calibri" w:hAnsi="Calibri"/>
                <w:color w:val="CBD5E0"/>
                <w:sz w:val="20"/>
              </w:rPr>
              <w:t>Confidential Peer Reviewer Evaluation Form &amp; Structured Scoring Rubric</w:t>
            </w:r>
          </w:p>
        </w:tc>
      </w:tr>
    </w:tbl>
    <w:p/>
    <w:p>
      <w:pPr>
        <w:keepNext/>
        <w:spacing w:before="280" w:after="80"/>
      </w:pPr>
      <w:r>
        <w:rPr>
          <w:rFonts w:ascii="Calibri" w:hAnsi="Calibri"/>
          <w:b/>
          <w:color w:val="1A365D"/>
          <w:sz w:val="24"/>
        </w:rPr>
        <w:t>1. Manuscript &amp; Review Metadata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1D5DB"/>
          <w:bottom w:val="single" w:sz="4" w:space="0" w:color="D1D5DB"/>
          <w:insideH w:val="single" w:sz="4" w:space="0" w:color="D1D5DB"/>
          <w:insideV w:val="single" w:sz="4" w:space="0" w:color="D1D5DB"/>
          <w:left w:val="single" w:sz="4" w:space="0" w:color="D1D5DB"/>
          <w:right w:val="single" w:sz="4" w:space="0" w:color="D1D5DB"/>
        </w:tblBorders>
      </w:tblPr>
      <w:tblGrid>
        <w:gridCol w:w="3168"/>
        <w:gridCol w:w="6192"/>
      </w:tblGrid>
      <w:tr>
        <w:tc>
          <w:tcPr>
            <w:tcW w:type="dxa" w:w="4680"/>
            <w:shd w:fill="F7FAFC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b/>
                <w:color w:val="1A365D"/>
                <w:sz w:val="18"/>
              </w:rPr>
              <w:t>Manuscript Tracking ID:</w:t>
            </w:r>
          </w:p>
        </w:tc>
        <w:tc>
          <w:tcPr>
            <w:tcW w:type="dxa" w:w="4680"/>
            <w:shd w:fill="FFFFFF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4A5568"/>
                <w:sz w:val="18"/>
              </w:rPr>
              <w:t>[e.g., AMSR-2026-0142]</w:t>
            </w:r>
          </w:p>
        </w:tc>
      </w:tr>
      <w:tr>
        <w:tc>
          <w:tcPr>
            <w:tcW w:type="dxa" w:w="4680"/>
            <w:shd w:fill="F7FAFC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b/>
                <w:color w:val="1A365D"/>
                <w:sz w:val="18"/>
              </w:rPr>
              <w:t>Manuscript Title:</w:t>
            </w:r>
          </w:p>
        </w:tc>
        <w:tc>
          <w:tcPr>
            <w:tcW w:type="dxa" w:w="4680"/>
            <w:shd w:fill="FFFFFF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4A5568"/>
                <w:sz w:val="18"/>
              </w:rPr>
              <w:t>[Insert Full Manuscript Title]</w:t>
            </w:r>
          </w:p>
        </w:tc>
      </w:tr>
      <w:tr>
        <w:tc>
          <w:tcPr>
            <w:tcW w:type="dxa" w:w="4680"/>
            <w:shd w:fill="F7FAFC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b/>
                <w:color w:val="1A365D"/>
                <w:sz w:val="18"/>
              </w:rPr>
              <w:t>Reviewer Code / ID:</w:t>
            </w:r>
          </w:p>
        </w:tc>
        <w:tc>
          <w:tcPr>
            <w:tcW w:type="dxa" w:w="4680"/>
            <w:shd w:fill="FFFFFF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4A5568"/>
                <w:sz w:val="18"/>
              </w:rPr>
              <w:t>[e.g., REV-AMSR-8841] (Blinded)</w:t>
            </w:r>
          </w:p>
        </w:tc>
      </w:tr>
      <w:tr>
        <w:tc>
          <w:tcPr>
            <w:tcW w:type="dxa" w:w="4680"/>
            <w:shd w:fill="F7FAFC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b/>
                <w:color w:val="1A365D"/>
                <w:sz w:val="18"/>
              </w:rPr>
              <w:t>Date Review Completed:</w:t>
            </w:r>
          </w:p>
        </w:tc>
        <w:tc>
          <w:tcPr>
            <w:tcW w:type="dxa" w:w="4680"/>
            <w:shd w:fill="FFFFFF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color w:val="4A5568"/>
                <w:sz w:val="18"/>
              </w:rPr>
              <w:t>[DD / MM / YYYY]</w:t>
            </w:r>
          </w:p>
        </w:tc>
      </w:tr>
    </w:tbl>
    <w:p/>
    <w:p>
      <w:pPr>
        <w:keepNext/>
        <w:spacing w:before="280" w:after="80"/>
      </w:pPr>
      <w:r>
        <w:rPr>
          <w:rFonts w:ascii="Calibri" w:hAnsi="Calibri"/>
          <w:b/>
          <w:color w:val="1A365D"/>
          <w:sz w:val="24"/>
        </w:rPr>
        <w:t>2. Structured Evaluation Rubric (1 = Poor, 5 = Excellent)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1D5DB"/>
          <w:bottom w:val="single" w:sz="4" w:space="0" w:color="D1D5DB"/>
          <w:insideH w:val="single" w:sz="4" w:space="0" w:color="D1D5DB"/>
          <w:insideV w:val="single" w:sz="4" w:space="0" w:color="D1D5DB"/>
          <w:left w:val="single" w:sz="4" w:space="0" w:color="D1D5DB"/>
          <w:right w:val="single" w:sz="4" w:space="0" w:color="D1D5DB"/>
        </w:tblBorders>
      </w:tblPr>
      <w:tblGrid>
        <w:gridCol w:w="3888"/>
        <w:gridCol w:w="864"/>
        <w:gridCol w:w="864"/>
        <w:gridCol w:w="864"/>
        <w:gridCol w:w="864"/>
        <w:gridCol w:w="864"/>
        <w:gridCol w:w="1152"/>
      </w:tblGrid>
      <w:tr>
        <w:tc>
          <w:tcPr>
            <w:tcW w:type="dxa" w:w="1337"/>
            <w:shd w:fill="2B6CB0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17"/>
              </w:rPr>
              <w:t>Evaluation Criteria</w:t>
            </w:r>
          </w:p>
        </w:tc>
        <w:tc>
          <w:tcPr>
            <w:tcW w:type="dxa" w:w="1337"/>
            <w:shd w:fill="2B6CB0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7"/>
              </w:rPr>
              <w:t>1 (Poor)</w:t>
            </w:r>
          </w:p>
        </w:tc>
        <w:tc>
          <w:tcPr>
            <w:tcW w:type="dxa" w:w="1337"/>
            <w:shd w:fill="2B6CB0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7"/>
              </w:rPr>
              <w:t>2 (Fair)</w:t>
            </w:r>
          </w:p>
        </w:tc>
        <w:tc>
          <w:tcPr>
            <w:tcW w:type="dxa" w:w="1337"/>
            <w:shd w:fill="2B6CB0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7"/>
              </w:rPr>
              <w:t>3 (Good)</w:t>
            </w:r>
          </w:p>
        </w:tc>
        <w:tc>
          <w:tcPr>
            <w:tcW w:type="dxa" w:w="1337"/>
            <w:shd w:fill="2B6CB0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7"/>
              </w:rPr>
              <w:t>4 (V.Good)</w:t>
            </w:r>
          </w:p>
        </w:tc>
        <w:tc>
          <w:tcPr>
            <w:tcW w:type="dxa" w:w="1337"/>
            <w:shd w:fill="2B6CB0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7"/>
              </w:rPr>
              <w:t>5 (Excel)</w:t>
            </w:r>
          </w:p>
        </w:tc>
        <w:tc>
          <w:tcPr>
            <w:tcW w:type="dxa" w:w="1337"/>
            <w:shd w:fill="2B6CB0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7"/>
              </w:rPr>
              <w:t>Score</w:t>
            </w:r>
          </w:p>
        </w:tc>
      </w:tr>
      <w:tr>
        <w:tc>
          <w:tcPr>
            <w:tcW w:type="dxa" w:w="1337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2D3748"/>
                <w:sz w:val="17"/>
              </w:rPr>
              <w:t>Originality &amp; Scientific Novelty: Contribution of new insights/data to the field.</w:t>
            </w:r>
          </w:p>
        </w:tc>
        <w:tc>
          <w:tcPr>
            <w:tcW w:type="dxa" w:w="1337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rFonts w:ascii="Calibri" w:hAnsi="Calibri"/>
                <w:color w:val="A0AEC0"/>
                <w:sz w:val="17"/>
              </w:rPr>
              <w:t>[  ]</w:t>
            </w:r>
          </w:p>
        </w:tc>
        <w:tc>
          <w:tcPr>
            <w:tcW w:type="dxa" w:w="1337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rFonts w:ascii="Calibri" w:hAnsi="Calibri"/>
                <w:color w:val="A0AEC0"/>
                <w:sz w:val="17"/>
              </w:rPr>
              <w:t>[  ]</w:t>
            </w:r>
          </w:p>
        </w:tc>
        <w:tc>
          <w:tcPr>
            <w:tcW w:type="dxa" w:w="1337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rFonts w:ascii="Calibri" w:hAnsi="Calibri"/>
                <w:color w:val="A0AEC0"/>
                <w:sz w:val="17"/>
              </w:rPr>
              <w:t>[  ]</w:t>
            </w:r>
          </w:p>
        </w:tc>
        <w:tc>
          <w:tcPr>
            <w:tcW w:type="dxa" w:w="1337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rFonts w:ascii="Calibri" w:hAnsi="Calibri"/>
                <w:color w:val="A0AEC0"/>
                <w:sz w:val="17"/>
              </w:rPr>
              <w:t>[  ]</w:t>
            </w:r>
          </w:p>
        </w:tc>
        <w:tc>
          <w:tcPr>
            <w:tcW w:type="dxa" w:w="1337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rFonts w:ascii="Calibri" w:hAnsi="Calibri"/>
                <w:color w:val="A0AEC0"/>
                <w:sz w:val="17"/>
              </w:rPr>
              <w:t>[  ]</w:t>
            </w:r>
          </w:p>
        </w:tc>
        <w:tc>
          <w:tcPr>
            <w:tcW w:type="dxa" w:w="1337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4A5568"/>
                <w:sz w:val="17"/>
              </w:rPr>
              <w:t>/ 5</w:t>
            </w:r>
          </w:p>
        </w:tc>
      </w:tr>
      <w:tr>
        <w:tc>
          <w:tcPr>
            <w:tcW w:type="dxa" w:w="1337"/>
            <w:shd w:fill="F7FAFC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2D3748"/>
                <w:sz w:val="17"/>
              </w:rPr>
              <w:t>Methodological Rigor &amp; Reproducibility: Experimental/analytical soundness and detail.</w:t>
            </w:r>
          </w:p>
        </w:tc>
        <w:tc>
          <w:tcPr>
            <w:tcW w:type="dxa" w:w="1337"/>
            <w:shd w:fill="F7FAFC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rFonts w:ascii="Calibri" w:hAnsi="Calibri"/>
                <w:color w:val="A0AEC0"/>
                <w:sz w:val="17"/>
              </w:rPr>
              <w:t>[  ]</w:t>
            </w:r>
          </w:p>
        </w:tc>
        <w:tc>
          <w:tcPr>
            <w:tcW w:type="dxa" w:w="1337"/>
            <w:shd w:fill="F7FAFC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rFonts w:ascii="Calibri" w:hAnsi="Calibri"/>
                <w:color w:val="A0AEC0"/>
                <w:sz w:val="17"/>
              </w:rPr>
              <w:t>[  ]</w:t>
            </w:r>
          </w:p>
        </w:tc>
        <w:tc>
          <w:tcPr>
            <w:tcW w:type="dxa" w:w="1337"/>
            <w:shd w:fill="F7FAFC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rFonts w:ascii="Calibri" w:hAnsi="Calibri"/>
                <w:color w:val="A0AEC0"/>
                <w:sz w:val="17"/>
              </w:rPr>
              <w:t>[  ]</w:t>
            </w:r>
          </w:p>
        </w:tc>
        <w:tc>
          <w:tcPr>
            <w:tcW w:type="dxa" w:w="1337"/>
            <w:shd w:fill="F7FAFC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rFonts w:ascii="Calibri" w:hAnsi="Calibri"/>
                <w:color w:val="A0AEC0"/>
                <w:sz w:val="17"/>
              </w:rPr>
              <w:t>[  ]</w:t>
            </w:r>
          </w:p>
        </w:tc>
        <w:tc>
          <w:tcPr>
            <w:tcW w:type="dxa" w:w="1337"/>
            <w:shd w:fill="F7FAFC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rFonts w:ascii="Calibri" w:hAnsi="Calibri"/>
                <w:color w:val="A0AEC0"/>
                <w:sz w:val="17"/>
              </w:rPr>
              <w:t>[  ]</w:t>
            </w:r>
          </w:p>
        </w:tc>
        <w:tc>
          <w:tcPr>
            <w:tcW w:type="dxa" w:w="1337"/>
            <w:shd w:fill="F7FAFC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4A5568"/>
                <w:sz w:val="17"/>
              </w:rPr>
              <w:t>/ 5</w:t>
            </w:r>
          </w:p>
        </w:tc>
      </w:tr>
      <w:tr>
        <w:tc>
          <w:tcPr>
            <w:tcW w:type="dxa" w:w="1337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2D3748"/>
                <w:sz w:val="17"/>
              </w:rPr>
              <w:t>Data Analysis &amp; Statistics: Robust statistical testing, controls, and error metrics.</w:t>
            </w:r>
          </w:p>
        </w:tc>
        <w:tc>
          <w:tcPr>
            <w:tcW w:type="dxa" w:w="1337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rFonts w:ascii="Calibri" w:hAnsi="Calibri"/>
                <w:color w:val="A0AEC0"/>
                <w:sz w:val="17"/>
              </w:rPr>
              <w:t>[  ]</w:t>
            </w:r>
          </w:p>
        </w:tc>
        <w:tc>
          <w:tcPr>
            <w:tcW w:type="dxa" w:w="1337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rFonts w:ascii="Calibri" w:hAnsi="Calibri"/>
                <w:color w:val="A0AEC0"/>
                <w:sz w:val="17"/>
              </w:rPr>
              <w:t>[  ]</w:t>
            </w:r>
          </w:p>
        </w:tc>
        <w:tc>
          <w:tcPr>
            <w:tcW w:type="dxa" w:w="1337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rFonts w:ascii="Calibri" w:hAnsi="Calibri"/>
                <w:color w:val="A0AEC0"/>
                <w:sz w:val="17"/>
              </w:rPr>
              <w:t>[  ]</w:t>
            </w:r>
          </w:p>
        </w:tc>
        <w:tc>
          <w:tcPr>
            <w:tcW w:type="dxa" w:w="1337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rFonts w:ascii="Calibri" w:hAnsi="Calibri"/>
                <w:color w:val="A0AEC0"/>
                <w:sz w:val="17"/>
              </w:rPr>
              <w:t>[  ]</w:t>
            </w:r>
          </w:p>
        </w:tc>
        <w:tc>
          <w:tcPr>
            <w:tcW w:type="dxa" w:w="1337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rFonts w:ascii="Calibri" w:hAnsi="Calibri"/>
                <w:color w:val="A0AEC0"/>
                <w:sz w:val="17"/>
              </w:rPr>
              <w:t>[  ]</w:t>
            </w:r>
          </w:p>
        </w:tc>
        <w:tc>
          <w:tcPr>
            <w:tcW w:type="dxa" w:w="1337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4A5568"/>
                <w:sz w:val="17"/>
              </w:rPr>
              <w:t>/ 5</w:t>
            </w:r>
          </w:p>
        </w:tc>
      </w:tr>
      <w:tr>
        <w:tc>
          <w:tcPr>
            <w:tcW w:type="dxa" w:w="1337"/>
            <w:shd w:fill="F7FAFC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2D3748"/>
                <w:sz w:val="17"/>
              </w:rPr>
              <w:t>Clarity of Results &amp; Visuals: High-quality tables, figures, and absence of data duplication.</w:t>
            </w:r>
          </w:p>
        </w:tc>
        <w:tc>
          <w:tcPr>
            <w:tcW w:type="dxa" w:w="1337"/>
            <w:shd w:fill="F7FAFC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rFonts w:ascii="Calibri" w:hAnsi="Calibri"/>
                <w:color w:val="A0AEC0"/>
                <w:sz w:val="17"/>
              </w:rPr>
              <w:t>[  ]</w:t>
            </w:r>
          </w:p>
        </w:tc>
        <w:tc>
          <w:tcPr>
            <w:tcW w:type="dxa" w:w="1337"/>
            <w:shd w:fill="F7FAFC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rFonts w:ascii="Calibri" w:hAnsi="Calibri"/>
                <w:color w:val="A0AEC0"/>
                <w:sz w:val="17"/>
              </w:rPr>
              <w:t>[  ]</w:t>
            </w:r>
          </w:p>
        </w:tc>
        <w:tc>
          <w:tcPr>
            <w:tcW w:type="dxa" w:w="1337"/>
            <w:shd w:fill="F7FAFC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rFonts w:ascii="Calibri" w:hAnsi="Calibri"/>
                <w:color w:val="A0AEC0"/>
                <w:sz w:val="17"/>
              </w:rPr>
              <w:t>[  ]</w:t>
            </w:r>
          </w:p>
        </w:tc>
        <w:tc>
          <w:tcPr>
            <w:tcW w:type="dxa" w:w="1337"/>
            <w:shd w:fill="F7FAFC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rFonts w:ascii="Calibri" w:hAnsi="Calibri"/>
                <w:color w:val="A0AEC0"/>
                <w:sz w:val="17"/>
              </w:rPr>
              <w:t>[  ]</w:t>
            </w:r>
          </w:p>
        </w:tc>
        <w:tc>
          <w:tcPr>
            <w:tcW w:type="dxa" w:w="1337"/>
            <w:shd w:fill="F7FAFC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rFonts w:ascii="Calibri" w:hAnsi="Calibri"/>
                <w:color w:val="A0AEC0"/>
                <w:sz w:val="17"/>
              </w:rPr>
              <w:t>[  ]</w:t>
            </w:r>
          </w:p>
        </w:tc>
        <w:tc>
          <w:tcPr>
            <w:tcW w:type="dxa" w:w="1337"/>
            <w:shd w:fill="F7FAFC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4A5568"/>
                <w:sz w:val="17"/>
              </w:rPr>
              <w:t>/ 5</w:t>
            </w:r>
          </w:p>
        </w:tc>
      </w:tr>
      <w:tr>
        <w:tc>
          <w:tcPr>
            <w:tcW w:type="dxa" w:w="1337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2D3748"/>
                <w:sz w:val="17"/>
              </w:rPr>
              <w:t>Discussion &amp; Scientific Context: Realistic interpretations, literature context, and limitations.</w:t>
            </w:r>
          </w:p>
        </w:tc>
        <w:tc>
          <w:tcPr>
            <w:tcW w:type="dxa" w:w="1337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rFonts w:ascii="Calibri" w:hAnsi="Calibri"/>
                <w:color w:val="A0AEC0"/>
                <w:sz w:val="17"/>
              </w:rPr>
              <w:t>[  ]</w:t>
            </w:r>
          </w:p>
        </w:tc>
        <w:tc>
          <w:tcPr>
            <w:tcW w:type="dxa" w:w="1337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rFonts w:ascii="Calibri" w:hAnsi="Calibri"/>
                <w:color w:val="A0AEC0"/>
                <w:sz w:val="17"/>
              </w:rPr>
              <w:t>[  ]</w:t>
            </w:r>
          </w:p>
        </w:tc>
        <w:tc>
          <w:tcPr>
            <w:tcW w:type="dxa" w:w="1337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rFonts w:ascii="Calibri" w:hAnsi="Calibri"/>
                <w:color w:val="A0AEC0"/>
                <w:sz w:val="17"/>
              </w:rPr>
              <w:t>[  ]</w:t>
            </w:r>
          </w:p>
        </w:tc>
        <w:tc>
          <w:tcPr>
            <w:tcW w:type="dxa" w:w="1337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rFonts w:ascii="Calibri" w:hAnsi="Calibri"/>
                <w:color w:val="A0AEC0"/>
                <w:sz w:val="17"/>
              </w:rPr>
              <w:t>[  ]</w:t>
            </w:r>
          </w:p>
        </w:tc>
        <w:tc>
          <w:tcPr>
            <w:tcW w:type="dxa" w:w="1337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rFonts w:ascii="Calibri" w:hAnsi="Calibri"/>
                <w:color w:val="A0AEC0"/>
                <w:sz w:val="17"/>
              </w:rPr>
              <w:t>[  ]</w:t>
            </w:r>
          </w:p>
        </w:tc>
        <w:tc>
          <w:tcPr>
            <w:tcW w:type="dxa" w:w="1337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4A5568"/>
                <w:sz w:val="17"/>
              </w:rPr>
              <w:t>/ 5</w:t>
            </w:r>
          </w:p>
        </w:tc>
      </w:tr>
      <w:tr>
        <w:tc>
          <w:tcPr>
            <w:tcW w:type="dxa" w:w="1337"/>
            <w:shd w:fill="F7FAFC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2D3748"/>
                <w:sz w:val="17"/>
              </w:rPr>
              <w:t>Ethical &amp; Compliance Standards: IRB/IACUC documentation, data access, and declarations.</w:t>
            </w:r>
          </w:p>
        </w:tc>
        <w:tc>
          <w:tcPr>
            <w:tcW w:type="dxa" w:w="1337"/>
            <w:shd w:fill="F7FAFC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rFonts w:ascii="Calibri" w:hAnsi="Calibri"/>
                <w:color w:val="A0AEC0"/>
                <w:sz w:val="17"/>
              </w:rPr>
              <w:t>[  ]</w:t>
            </w:r>
          </w:p>
        </w:tc>
        <w:tc>
          <w:tcPr>
            <w:tcW w:type="dxa" w:w="1337"/>
            <w:shd w:fill="F7FAFC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rFonts w:ascii="Calibri" w:hAnsi="Calibri"/>
                <w:color w:val="A0AEC0"/>
                <w:sz w:val="17"/>
              </w:rPr>
              <w:t>[  ]</w:t>
            </w:r>
          </w:p>
        </w:tc>
        <w:tc>
          <w:tcPr>
            <w:tcW w:type="dxa" w:w="1337"/>
            <w:shd w:fill="F7FAFC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rFonts w:ascii="Calibri" w:hAnsi="Calibri"/>
                <w:color w:val="A0AEC0"/>
                <w:sz w:val="17"/>
              </w:rPr>
              <w:t>[  ]</w:t>
            </w:r>
          </w:p>
        </w:tc>
        <w:tc>
          <w:tcPr>
            <w:tcW w:type="dxa" w:w="1337"/>
            <w:shd w:fill="F7FAFC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rFonts w:ascii="Calibri" w:hAnsi="Calibri"/>
                <w:color w:val="A0AEC0"/>
                <w:sz w:val="17"/>
              </w:rPr>
              <w:t>[  ]</w:t>
            </w:r>
          </w:p>
        </w:tc>
        <w:tc>
          <w:tcPr>
            <w:tcW w:type="dxa" w:w="1337"/>
            <w:shd w:fill="F7FAFC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rFonts w:ascii="Calibri" w:hAnsi="Calibri"/>
                <w:color w:val="A0AEC0"/>
                <w:sz w:val="17"/>
              </w:rPr>
              <w:t>[  ]</w:t>
            </w:r>
          </w:p>
        </w:tc>
        <w:tc>
          <w:tcPr>
            <w:tcW w:type="dxa" w:w="1337"/>
            <w:shd w:fill="F7FAFC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4A5568"/>
                <w:sz w:val="17"/>
              </w:rPr>
              <w:t>/ 5</w:t>
            </w:r>
          </w:p>
        </w:tc>
      </w:tr>
      <w:tr>
        <w:tc>
          <w:tcPr>
            <w:tcW w:type="dxa" w:w="1337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2D3748"/>
                <w:sz w:val="17"/>
              </w:rPr>
              <w:t>Overall Scientific Impact: Relevance to AMSR scope and international readership.</w:t>
            </w:r>
          </w:p>
        </w:tc>
        <w:tc>
          <w:tcPr>
            <w:tcW w:type="dxa" w:w="1337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rFonts w:ascii="Calibri" w:hAnsi="Calibri"/>
                <w:color w:val="A0AEC0"/>
                <w:sz w:val="17"/>
              </w:rPr>
              <w:t>[  ]</w:t>
            </w:r>
          </w:p>
        </w:tc>
        <w:tc>
          <w:tcPr>
            <w:tcW w:type="dxa" w:w="1337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rFonts w:ascii="Calibri" w:hAnsi="Calibri"/>
                <w:color w:val="A0AEC0"/>
                <w:sz w:val="17"/>
              </w:rPr>
              <w:t>[  ]</w:t>
            </w:r>
          </w:p>
        </w:tc>
        <w:tc>
          <w:tcPr>
            <w:tcW w:type="dxa" w:w="1337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rFonts w:ascii="Calibri" w:hAnsi="Calibri"/>
                <w:color w:val="A0AEC0"/>
                <w:sz w:val="17"/>
              </w:rPr>
              <w:t>[  ]</w:t>
            </w:r>
          </w:p>
        </w:tc>
        <w:tc>
          <w:tcPr>
            <w:tcW w:type="dxa" w:w="1337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rFonts w:ascii="Calibri" w:hAnsi="Calibri"/>
                <w:color w:val="A0AEC0"/>
                <w:sz w:val="17"/>
              </w:rPr>
              <w:t>[  ]</w:t>
            </w:r>
          </w:p>
        </w:tc>
        <w:tc>
          <w:tcPr>
            <w:tcW w:type="dxa" w:w="1337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rFonts w:ascii="Calibri" w:hAnsi="Calibri"/>
                <w:color w:val="A0AEC0"/>
                <w:sz w:val="17"/>
              </w:rPr>
              <w:t>[  ]</w:t>
            </w:r>
          </w:p>
        </w:tc>
        <w:tc>
          <w:tcPr>
            <w:tcW w:type="dxa" w:w="1337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4A5568"/>
                <w:sz w:val="17"/>
              </w:rPr>
              <w:t>/ 5</w:t>
            </w:r>
          </w:p>
        </w:tc>
      </w:tr>
    </w:tbl>
    <w:p/>
    <w:p>
      <w:pPr>
        <w:keepNext/>
        <w:spacing w:before="280" w:after="80"/>
      </w:pPr>
      <w:r>
        <w:rPr>
          <w:rFonts w:ascii="Calibri" w:hAnsi="Calibri"/>
          <w:b/>
          <w:color w:val="1A365D"/>
          <w:sz w:val="24"/>
        </w:rPr>
        <w:t>3. Editorial Compliance Checklist (Yes / No / Partial)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1D5DB"/>
          <w:bottom w:val="single" w:sz="4" w:space="0" w:color="D1D5DB"/>
          <w:insideH w:val="single" w:sz="4" w:space="0" w:color="D1D5DB"/>
          <w:insideV w:val="single" w:sz="4" w:space="0" w:color="D1D5DB"/>
          <w:left w:val="single" w:sz="4" w:space="0" w:color="D1D5DB"/>
          <w:right w:val="single" w:sz="4" w:space="0" w:color="D1D5DB"/>
        </w:tblBorders>
      </w:tblPr>
      <w:tblGrid>
        <w:gridCol w:w="6480"/>
        <w:gridCol w:w="1440"/>
        <w:gridCol w:w="1440"/>
      </w:tblGrid>
      <w:tr>
        <w:tc>
          <w:tcPr>
            <w:tcW w:type="dxa" w:w="3120"/>
            <w:shd w:fill="2B6CB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color w:val="FFFFFF"/>
                <w:sz w:val="17"/>
              </w:rPr>
              <w:t>Verification Item</w:t>
            </w:r>
          </w:p>
        </w:tc>
        <w:tc>
          <w:tcPr>
            <w:tcW w:type="dxa" w:w="3120"/>
            <w:shd w:fill="2B6CB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color w:val="FFFFFF"/>
                <w:sz w:val="17"/>
              </w:rPr>
              <w:t>Status</w:t>
            </w:r>
          </w:p>
        </w:tc>
        <w:tc>
          <w:tcPr>
            <w:tcW w:type="dxa" w:w="3120"/>
            <w:shd w:fill="2B6CB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color w:val="FFFFFF"/>
                <w:sz w:val="17"/>
              </w:rPr>
              <w:t>Remarks</w:t>
            </w:r>
          </w:p>
        </w:tc>
      </w:tr>
      <w:tr>
        <w:tc>
          <w:tcPr>
            <w:tcW w:type="dxa" w:w="3120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color w:val="2D3748"/>
                <w:sz w:val="17"/>
              </w:rPr>
              <w:t>Is the manuscript free of overt self-plagiarism or excessive overlap?</w:t>
            </w:r>
          </w:p>
        </w:tc>
        <w:tc>
          <w:tcPr>
            <w:tcW w:type="dxa" w:w="3120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color w:val="718096"/>
                <w:sz w:val="16"/>
              </w:rPr>
              <w:t>[ ] Yes  [ ] No</w:t>
            </w:r>
          </w:p>
        </w:tc>
        <w:tc>
          <w:tcPr>
            <w:tcW w:type="dxa" w:w="3120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color w:val="A0AEC0"/>
                <w:sz w:val="16"/>
              </w:rPr>
              <w:t>[Optional]</w:t>
            </w:r>
          </w:p>
        </w:tc>
      </w:tr>
      <w:tr>
        <w:tc>
          <w:tcPr>
            <w:tcW w:type="dxa" w:w="3120"/>
            <w:shd w:fill="F7FAFC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color w:val="2D3748"/>
                <w:sz w:val="17"/>
              </w:rPr>
              <w:t>Are all animal welfare (IACUC) / human ethics (IRB) statements valid?</w:t>
            </w:r>
          </w:p>
        </w:tc>
        <w:tc>
          <w:tcPr>
            <w:tcW w:type="dxa" w:w="3120"/>
            <w:shd w:fill="F7FAFC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color w:val="718096"/>
                <w:sz w:val="16"/>
              </w:rPr>
              <w:t>[ ] Yes  [ ] No</w:t>
            </w:r>
          </w:p>
        </w:tc>
        <w:tc>
          <w:tcPr>
            <w:tcW w:type="dxa" w:w="3120"/>
            <w:shd w:fill="F7FAFC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color w:val="A0AEC0"/>
                <w:sz w:val="16"/>
              </w:rPr>
              <w:t>[Optional]</w:t>
            </w:r>
          </w:p>
        </w:tc>
      </w:tr>
      <w:tr>
        <w:tc>
          <w:tcPr>
            <w:tcW w:type="dxa" w:w="3120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color w:val="2D3748"/>
                <w:sz w:val="17"/>
              </w:rPr>
              <w:t>Are experimental methods described with sufficient detail for replication?</w:t>
            </w:r>
          </w:p>
        </w:tc>
        <w:tc>
          <w:tcPr>
            <w:tcW w:type="dxa" w:w="3120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color w:val="718096"/>
                <w:sz w:val="16"/>
              </w:rPr>
              <w:t>[ ] Yes  [ ] No</w:t>
            </w:r>
          </w:p>
        </w:tc>
        <w:tc>
          <w:tcPr>
            <w:tcW w:type="dxa" w:w="3120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color w:val="A0AEC0"/>
                <w:sz w:val="16"/>
              </w:rPr>
              <w:t>[Optional]</w:t>
            </w:r>
          </w:p>
        </w:tc>
      </w:tr>
      <w:tr>
        <w:tc>
          <w:tcPr>
            <w:tcW w:type="dxa" w:w="3120"/>
            <w:shd w:fill="F7FAFC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color w:val="2D3748"/>
                <w:sz w:val="17"/>
              </w:rPr>
              <w:t>Are conclusions fully justified by the presented data without speculation?</w:t>
            </w:r>
          </w:p>
        </w:tc>
        <w:tc>
          <w:tcPr>
            <w:tcW w:type="dxa" w:w="3120"/>
            <w:shd w:fill="F7FAFC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color w:val="718096"/>
                <w:sz w:val="16"/>
              </w:rPr>
              <w:t>[ ] Yes  [ ] No</w:t>
            </w:r>
          </w:p>
        </w:tc>
        <w:tc>
          <w:tcPr>
            <w:tcW w:type="dxa" w:w="3120"/>
            <w:shd w:fill="F7FAFC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color w:val="A0AEC0"/>
                <w:sz w:val="16"/>
              </w:rPr>
              <w:t>[Optional]</w:t>
            </w:r>
          </w:p>
        </w:tc>
      </w:tr>
      <w:tr>
        <w:tc>
          <w:tcPr>
            <w:tcW w:type="dxa" w:w="3120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color w:val="2D3748"/>
                <w:sz w:val="17"/>
              </w:rPr>
              <w:t>Is the English language and technical presentation of acceptable quality?</w:t>
            </w:r>
          </w:p>
        </w:tc>
        <w:tc>
          <w:tcPr>
            <w:tcW w:type="dxa" w:w="3120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color w:val="718096"/>
                <w:sz w:val="16"/>
              </w:rPr>
              <w:t>[ ] Yes  [ ] No</w:t>
            </w:r>
          </w:p>
        </w:tc>
        <w:tc>
          <w:tcPr>
            <w:tcW w:type="dxa" w:w="3120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color w:val="A0AEC0"/>
                <w:sz w:val="16"/>
              </w:rPr>
              <w:t>[Optional]</w:t>
            </w:r>
          </w:p>
        </w:tc>
      </w:tr>
    </w:tbl>
    <w:p/>
    <w:p>
      <w:pPr>
        <w:keepNext/>
        <w:spacing w:before="280" w:after="80"/>
      </w:pPr>
      <w:r>
        <w:rPr>
          <w:rFonts w:ascii="Calibri" w:hAnsi="Calibri"/>
          <w:b/>
          <w:color w:val="1A365D"/>
          <w:sz w:val="24"/>
        </w:rPr>
        <w:t>4. Detailed Qualitative Review</w:t>
      </w:r>
    </w:p>
    <w:p>
      <w:pPr>
        <w:spacing w:after="120" w:line="276" w:lineRule="auto"/>
      </w:pPr>
      <w:r>
        <w:rPr>
          <w:rFonts w:ascii="Calibri" w:hAnsi="Calibri"/>
          <w:color w:val="2D3748"/>
          <w:sz w:val="20"/>
        </w:rPr>
        <w:t>4.1 Confidential Comments to the Editor-in-Chief (Not shared with authors):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F7FAFC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i/>
                <w:color w:val="718096"/>
                <w:sz w:val="17"/>
              </w:rPr>
              <w:t>[Provide confidential feedback regarding ethical concerns, potential data fabrication, commercial bias, or specific suitability recommendations for AMSR...]</w:t>
            </w:r>
          </w:p>
        </w:tc>
      </w:tr>
    </w:tbl>
    <w:p/>
    <w:p>
      <w:pPr>
        <w:spacing w:after="120" w:line="276" w:lineRule="auto"/>
      </w:pPr>
      <w:r>
        <w:rPr>
          <w:rFonts w:ascii="Calibri" w:hAnsi="Calibri"/>
          <w:color w:val="2D3748"/>
          <w:sz w:val="20"/>
        </w:rPr>
        <w:t>4.2 Constructive Comments for the Authors (Shared with authors):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F7FAFC"/>
            <w:tcMar>
              <w:top w:w="140" w:type="dxa"/>
              <w:bottom w:w="14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4A5568"/>
                <w:sz w:val="17"/>
              </w:rPr>
              <w:t>• Major Compulsory Revisions (Critical methodological or analytical revisions required for validity):</w:t>
              <w:br/>
              <w:t xml:space="preserve">  1. [Line XX: ...]</w:t>
              <w:br/>
              <w:t xml:space="preserve">  2. [Line XX: ...]</w:t>
              <w:br/>
              <w:br/>
              <w:t>• Minor Revisions &amp; Clarifications (Clarity, typos, figure resolution, reference additions):</w:t>
              <w:br/>
              <w:t xml:space="preserve">  1. [Line XX: ...]</w:t>
              <w:br/>
              <w:t xml:space="preserve">  2. [Line XX: ...]</w:t>
            </w:r>
          </w:p>
        </w:tc>
      </w:tr>
    </w:tbl>
    <w:p/>
    <w:p>
      <w:pPr>
        <w:keepNext/>
        <w:spacing w:before="280" w:after="80"/>
      </w:pPr>
      <w:r>
        <w:rPr>
          <w:rFonts w:ascii="Calibri" w:hAnsi="Calibri"/>
          <w:b/>
          <w:color w:val="1A365D"/>
          <w:sz w:val="24"/>
        </w:rPr>
        <w:t>5. Final Recommendation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1D5DB"/>
          <w:bottom w:val="single" w:sz="4" w:space="0" w:color="D1D5DB"/>
          <w:insideH w:val="single" w:sz="4" w:space="0" w:color="D1D5DB"/>
          <w:insideV w:val="single" w:sz="4" w:space="0" w:color="D1D5DB"/>
          <w:left w:val="single" w:sz="4" w:space="0" w:color="D1D5DB"/>
          <w:right w:val="single" w:sz="4" w:space="0" w:color="D1D5DB"/>
        </w:tblBorders>
      </w:tblPr>
      <w:tblGrid>
        <w:gridCol w:w="1152"/>
        <w:gridCol w:w="8208"/>
      </w:tblGrid>
      <w:tr>
        <w:tc>
          <w:tcPr>
            <w:tcW w:type="dxa" w:w="4680"/>
            <w:shd w:fill="F7FAFC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rFonts w:ascii="Calibri" w:hAnsi="Calibri"/>
                <w:color w:val="2B6CB0"/>
                <w:sz w:val="18"/>
              </w:rPr>
              <w:t>[   ]</w:t>
            </w:r>
          </w:p>
        </w:tc>
        <w:tc>
          <w:tcPr>
            <w:tcW w:type="dxa" w:w="4680"/>
            <w:shd w:fill="FFFFFF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color w:val="1A365D"/>
                <w:sz w:val="18"/>
              </w:rPr>
              <w:t xml:space="preserve">Accept As Is: </w:t>
            </w:r>
            <w:r>
              <w:rPr>
                <w:rFonts w:ascii="Calibri" w:hAnsi="Calibri"/>
                <w:color w:val="4A5568"/>
                <w:sz w:val="17"/>
              </w:rPr>
              <w:t>Manuscript meets all standards without any necessary revisions.</w:t>
            </w:r>
          </w:p>
        </w:tc>
      </w:tr>
      <w:tr>
        <w:tc>
          <w:tcPr>
            <w:tcW w:type="dxa" w:w="4680"/>
            <w:shd w:fill="F7FAFC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rFonts w:ascii="Calibri" w:hAnsi="Calibri"/>
                <w:color w:val="2B6CB0"/>
                <w:sz w:val="18"/>
              </w:rPr>
              <w:t>[   ]</w:t>
            </w:r>
          </w:p>
        </w:tc>
        <w:tc>
          <w:tcPr>
            <w:tcW w:type="dxa" w:w="4680"/>
            <w:shd w:fill="FFFFFF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color w:val="1A365D"/>
                <w:sz w:val="18"/>
              </w:rPr>
              <w:t xml:space="preserve">Minor Revision: </w:t>
            </w:r>
            <w:r>
              <w:rPr>
                <w:rFonts w:ascii="Calibri" w:hAnsi="Calibri"/>
                <w:color w:val="4A5568"/>
                <w:sz w:val="17"/>
              </w:rPr>
              <w:t>Manuscript is acceptable pending minor textual, reference, or formatting revisions (14-day turnaround).</w:t>
            </w:r>
          </w:p>
        </w:tc>
      </w:tr>
      <w:tr>
        <w:tc>
          <w:tcPr>
            <w:tcW w:type="dxa" w:w="4680"/>
            <w:shd w:fill="F7FAFC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rFonts w:ascii="Calibri" w:hAnsi="Calibri"/>
                <w:color w:val="2B6CB0"/>
                <w:sz w:val="18"/>
              </w:rPr>
              <w:t>[   ]</w:t>
            </w:r>
          </w:p>
        </w:tc>
        <w:tc>
          <w:tcPr>
            <w:tcW w:type="dxa" w:w="4680"/>
            <w:shd w:fill="FFFFFF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color w:val="1A365D"/>
                <w:sz w:val="18"/>
              </w:rPr>
              <w:t xml:space="preserve">Major Revision: </w:t>
            </w:r>
            <w:r>
              <w:rPr>
                <w:rFonts w:ascii="Calibri" w:hAnsi="Calibri"/>
                <w:color w:val="4A5568"/>
                <w:sz w:val="17"/>
              </w:rPr>
              <w:t>Manuscript requires substantial new data, extensive re-analysis, or major textual restructuring (28-day turnaround + re-review).</w:t>
            </w:r>
          </w:p>
        </w:tc>
      </w:tr>
      <w:tr>
        <w:tc>
          <w:tcPr>
            <w:tcW w:type="dxa" w:w="4680"/>
            <w:shd w:fill="F7FAFC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rFonts w:ascii="Calibri" w:hAnsi="Calibri"/>
                <w:color w:val="2B6CB0"/>
                <w:sz w:val="18"/>
              </w:rPr>
              <w:t>[   ]</w:t>
            </w:r>
          </w:p>
        </w:tc>
        <w:tc>
          <w:tcPr>
            <w:tcW w:type="dxa" w:w="4680"/>
            <w:shd w:fill="FFFFFF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color w:val="1A365D"/>
                <w:sz w:val="18"/>
              </w:rPr>
              <w:t xml:space="preserve">Reject: </w:t>
            </w:r>
            <w:r>
              <w:rPr>
                <w:rFonts w:ascii="Calibri" w:hAnsi="Calibri"/>
                <w:color w:val="4A5568"/>
                <w:sz w:val="17"/>
              </w:rPr>
              <w:t>Manuscript has severe fatal flaws in experimental design, lacks scientific novelty, or falls outside the journal scope.</w:t>
            </w:r>
          </w:p>
        </w:tc>
      </w:tr>
      <w:tr>
        <w:tc>
          <w:tcPr>
            <w:tcW w:type="dxa" w:w="4680"/>
          </w:tcPr>
          <w:p/>
        </w:tc>
        <w:tc>
          <w:tcPr>
            <w:tcW w:type="dxa" w:w="4680"/>
          </w:tcPr>
          <w:p/>
        </w:tc>
      </w:tr>
    </w:tbl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